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480" w:lineRule="exact"/>
        <w:ind w:right="0" w:rightChars="0"/>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rPr>
        <w:t>雅安经济开发区市政建筑工程有限公司</w:t>
      </w:r>
    </w:p>
    <w:p>
      <w:pPr>
        <w:keepNext w:val="0"/>
        <w:keepLines w:val="0"/>
        <w:pageBreakBefore w:val="0"/>
        <w:kinsoku/>
        <w:wordWrap/>
        <w:overflowPunct/>
        <w:topLinePunct w:val="0"/>
        <w:autoSpaceDE/>
        <w:autoSpaceDN/>
        <w:bidi w:val="0"/>
        <w:adjustRightInd/>
        <w:snapToGrid w:val="0"/>
        <w:spacing w:line="480" w:lineRule="exact"/>
        <w:ind w:right="0" w:rightChars="0"/>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公开考核</w:t>
      </w:r>
      <w:r>
        <w:rPr>
          <w:rFonts w:hint="eastAsia" w:ascii="方正小标宋简体" w:hAnsi="方正小标宋简体" w:eastAsia="方正小标宋简体" w:cs="方正小标宋简体"/>
          <w:b w:val="0"/>
          <w:bCs w:val="0"/>
          <w:color w:val="000000"/>
          <w:sz w:val="32"/>
          <w:szCs w:val="32"/>
        </w:rPr>
        <w:t>招聘成绩及进入体检人员名单的公告</w:t>
      </w:r>
    </w:p>
    <w:p>
      <w:pPr>
        <w:keepNext w:val="0"/>
        <w:keepLines w:val="0"/>
        <w:pageBreakBefore w:val="0"/>
        <w:kinsoku/>
        <w:wordWrap/>
        <w:overflowPunct/>
        <w:topLinePunct w:val="0"/>
        <w:autoSpaceDE/>
        <w:autoSpaceDN/>
        <w:bidi w:val="0"/>
        <w:adjustRightInd/>
        <w:snapToGrid w:val="0"/>
        <w:spacing w:line="480" w:lineRule="exact"/>
        <w:ind w:right="0" w:rightChars="0" w:firstLine="321" w:firstLineChars="100"/>
        <w:jc w:val="both"/>
        <w:textAlignment w:val="auto"/>
        <w:rPr>
          <w:rFonts w:hint="eastAsia"/>
          <w:b/>
          <w:bCs/>
          <w:color w:val="000000"/>
          <w:sz w:val="32"/>
          <w:szCs w:val="32"/>
        </w:rPr>
      </w:pPr>
    </w:p>
    <w:p>
      <w:pPr>
        <w:spacing w:line="560" w:lineRule="exact"/>
        <w:ind w:firstLine="640" w:firstLineChars="200"/>
        <w:jc w:val="both"/>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根据《雅安经济开发区市政建筑工程有限公司公开考核招聘地产开发经营部员工和会计岗位的公告》规定，现将考生考试成绩及体检相关事宜公告如下：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一、考生考试总成绩及进入体检人员名单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详见附件《</w:t>
      </w:r>
      <w:r>
        <w:rPr>
          <w:rFonts w:hint="eastAsia" w:ascii="仿宋_GB2312" w:hAnsi="宋体" w:eastAsia="仿宋_GB2312" w:cs="宋体"/>
          <w:color w:val="000000"/>
          <w:sz w:val="32"/>
          <w:szCs w:val="32"/>
          <w:shd w:val="clear" w:color="auto" w:fill="FFFFFF"/>
        </w:rPr>
        <w:t>雅安经济开发区市政建筑工程有限公司公开考核招聘</w:t>
      </w:r>
      <w:bookmarkStart w:id="1" w:name="_GoBack"/>
      <w:bookmarkEnd w:id="1"/>
      <w:r>
        <w:rPr>
          <w:rFonts w:hint="eastAsia" w:ascii="仿宋_GB2312" w:hAnsi="Arial" w:eastAsia="仿宋_GB2312" w:cs="仿宋_GB2312"/>
          <w:b w:val="0"/>
          <w:i w:val="0"/>
          <w:caps w:val="0"/>
          <w:color w:val="auto"/>
          <w:spacing w:val="0"/>
          <w:kern w:val="0"/>
          <w:sz w:val="32"/>
          <w:szCs w:val="32"/>
          <w:shd w:val="clear" w:fill="FFFFFF"/>
          <w:lang w:val="en-US" w:eastAsia="zh-CN" w:bidi="ar"/>
        </w:rPr>
        <w:t>成绩及进入体检人员名单》。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二、体检安排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 xml:space="preserve">（一）体检时间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 xml:space="preserve"> 2018年11月12日上午8:30在指定地点集合参加体检。未按规定时间到指定地点以及未在规定的期限内完成规项目体检的考生，视为自动弃权，一切后果由考生自负。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320" w:firstLineChars="10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（二）体检标准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体检的项目和标准参照《关于印发〈公务员录用体检通用标准（试行）〉的通知》（国人部发〔2005〕1号）、体检操作手册和《关于修订&lt;公务员录用体检通用标准（试行）&gt;及&lt;公务员录用体检操作手册（试行）&gt;的通知》（人社部发〔2010〕19号）、《</w:t>
      </w:r>
      <w:bookmarkStart w:id="0" w:name="OLE_LINK3"/>
      <w:bookmarkEnd w:id="0"/>
      <w:r>
        <w:rPr>
          <w:rFonts w:hint="eastAsia" w:ascii="仿宋_GB2312" w:hAnsi="Arial" w:eastAsia="仿宋_GB2312" w:cs="仿宋_GB2312"/>
          <w:b w:val="0"/>
          <w:i w:val="0"/>
          <w:caps w:val="0"/>
          <w:color w:val="auto"/>
          <w:spacing w:val="0"/>
          <w:kern w:val="0"/>
          <w:sz w:val="32"/>
          <w:szCs w:val="32"/>
          <w:shd w:val="clear" w:fill="FFFFFF"/>
          <w:lang w:val="en-US" w:eastAsia="zh-CN" w:bidi="ar"/>
        </w:rPr>
        <w:t>关于进一步做好公务员考试录用体检工作的通知》（人社部发〔2012〕65号）、《关于印发〈公务员录用体检操作手册 （试行）〉有关修订内容的通知》（人社部发〔2013〕58号）执行。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320" w:firstLineChars="100"/>
        <w:jc w:val="left"/>
        <w:textAlignment w:val="auto"/>
        <w:rPr>
          <w:rFonts w:hint="eastAsia" w:ascii="Arial" w:hAnsi="Arial" w:cs="Arial"/>
          <w:b w:val="0"/>
          <w:i w:val="0"/>
          <w:caps w:val="0"/>
          <w:color w:val="auto"/>
          <w:spacing w:val="0"/>
          <w:sz w:val="18"/>
          <w:szCs w:val="18"/>
        </w:rPr>
      </w:pPr>
      <w:r>
        <w:rPr>
          <w:rFonts w:ascii="仿宋_GB2312" w:hAnsi="Arial" w:eastAsia="仿宋_GB2312" w:cs="仿宋_GB2312"/>
          <w:b w:val="0"/>
          <w:i w:val="0"/>
          <w:caps w:val="0"/>
          <w:color w:val="auto"/>
          <w:spacing w:val="0"/>
          <w:kern w:val="0"/>
          <w:sz w:val="32"/>
          <w:szCs w:val="32"/>
          <w:shd w:val="clear" w:fill="FFFFFF"/>
          <w:lang w:val="en-US" w:eastAsia="zh-CN" w:bidi="ar"/>
        </w:rPr>
        <w:t>（三）其他事项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default" w:ascii="Arial" w:hAnsi="Arial" w:cs="Arial"/>
          <w:b w:val="0"/>
          <w:i w:val="0"/>
          <w:caps w:val="0"/>
          <w:color w:val="auto"/>
          <w:spacing w:val="0"/>
          <w:sz w:val="18"/>
          <w:szCs w:val="18"/>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1、体检当天需进行采血、B超等检查，请在受检前禁食8-12小时。体检前一天请注意休息，勿熬夜，不要饮酒，避免剧烈运动。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default" w:ascii="Arial" w:hAnsi="Arial" w:cs="Arial"/>
          <w:b w:val="0"/>
          <w:i w:val="0"/>
          <w:caps w:val="0"/>
          <w:color w:val="auto"/>
          <w:spacing w:val="0"/>
          <w:sz w:val="18"/>
          <w:szCs w:val="18"/>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2、体检时，需逐项检查，切勿漏查，若自动放弃某一检查项目，将会影响对您的聘用，后果由考生自负。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default" w:ascii="Arial" w:hAnsi="Arial" w:cs="Arial"/>
          <w:b w:val="0"/>
          <w:i w:val="0"/>
          <w:caps w:val="0"/>
          <w:color w:val="auto"/>
          <w:spacing w:val="0"/>
          <w:sz w:val="18"/>
          <w:szCs w:val="18"/>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3、参加体检时须携带本人第二代居民身份证（不含过期身份证、身份证复印件、第一代居民身份证）及一张免冠一寸近照。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default" w:ascii="Arial" w:hAnsi="Arial" w:cs="Arial"/>
          <w:b w:val="0"/>
          <w:i w:val="0"/>
          <w:caps w:val="0"/>
          <w:color w:val="auto"/>
          <w:spacing w:val="0"/>
          <w:sz w:val="18"/>
          <w:szCs w:val="18"/>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4、严禁弄虚作假、冒名顶替。体检时严禁家属（亲友）随同。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default" w:ascii="Arial" w:hAnsi="Arial" w:cs="Arial"/>
          <w:b w:val="0"/>
          <w:i w:val="0"/>
          <w:caps w:val="0"/>
          <w:color w:val="auto"/>
          <w:spacing w:val="0"/>
          <w:sz w:val="18"/>
          <w:szCs w:val="18"/>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5、本次体检所需费用350元，由考生直接交负责体检的医院。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三、咨询电话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0835－3232788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4474" w:leftChars="1216" w:right="0" w:hanging="1920" w:hangingChars="600"/>
        <w:jc w:val="left"/>
        <w:textAlignment w:val="auto"/>
        <w:rPr>
          <w:rFonts w:hint="eastAsia" w:eastAsia="宋体"/>
          <w:color w:val="000000"/>
          <w:sz w:val="23"/>
          <w:szCs w:val="23"/>
          <w:lang w:val="en-US" w:eastAsia="zh-CN"/>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 xml:space="preserve">雅安经济开发区市政建筑工程有限公司        </w:t>
      </w:r>
      <w:r>
        <w:rPr>
          <w:rFonts w:hint="eastAsia"/>
          <w:color w:val="000000"/>
          <w:sz w:val="23"/>
          <w:szCs w:val="23"/>
          <w:lang w:val="en-US" w:eastAsia="zh-CN"/>
        </w:rPr>
        <w:t xml:space="preserve">                                 </w:t>
      </w:r>
      <w:r>
        <w:rPr>
          <w:rFonts w:hint="eastAsia" w:ascii="仿宋_GB2312" w:hAnsi="Arial" w:eastAsia="仿宋_GB2312" w:cs="仿宋_GB2312"/>
          <w:b w:val="0"/>
          <w:i w:val="0"/>
          <w:caps w:val="0"/>
          <w:color w:val="auto"/>
          <w:spacing w:val="0"/>
          <w:kern w:val="0"/>
          <w:sz w:val="32"/>
          <w:szCs w:val="32"/>
          <w:shd w:val="clear" w:fill="FFFFFF"/>
          <w:lang w:val="en-US" w:eastAsia="zh-CN" w:bidi="ar"/>
        </w:rPr>
        <w:t>2018年11月11日</w:t>
      </w:r>
    </w:p>
    <w:p>
      <w:pPr>
        <w:pStyle w:val="5"/>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textAlignment w:val="auto"/>
        <w:outlineLvl w:val="9"/>
        <w:rPr>
          <w:rFonts w:hint="eastAsia"/>
          <w:color w:val="000000"/>
          <w:sz w:val="23"/>
          <w:szCs w:val="2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jc w:val="left"/>
        <w:textAlignment w:val="auto"/>
        <w:rPr>
          <w:rFonts w:hint="eastAsia" w:ascii="仿宋_GB2312" w:hAnsi="Arial" w:eastAsia="仿宋_GB2312" w:cs="仿宋_GB2312"/>
          <w:b w:val="0"/>
          <w:i w:val="0"/>
          <w:caps w:val="0"/>
          <w:color w:val="auto"/>
          <w:spacing w:val="0"/>
          <w:kern w:val="0"/>
          <w:sz w:val="32"/>
          <w:szCs w:val="32"/>
          <w:shd w:val="clear" w:fill="FFFFFF"/>
          <w:lang w:val="en-US" w:eastAsia="zh-CN" w:bidi="ar"/>
        </w:rPr>
      </w:pPr>
      <w:r>
        <w:rPr>
          <w:rFonts w:hint="eastAsia" w:ascii="仿宋_GB2312" w:hAnsi="Arial" w:eastAsia="仿宋_GB2312" w:cs="仿宋_GB2312"/>
          <w:b w:val="0"/>
          <w:i w:val="0"/>
          <w:caps w:val="0"/>
          <w:color w:val="auto"/>
          <w:spacing w:val="0"/>
          <w:kern w:val="0"/>
          <w:sz w:val="32"/>
          <w:szCs w:val="32"/>
          <w:shd w:val="clear" w:fill="FFFFFF"/>
          <w:lang w:val="en-US" w:eastAsia="zh-CN" w:bidi="ar"/>
        </w:rPr>
        <w:t>附件：</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right="0" w:rightChars="0"/>
        <w:jc w:val="center"/>
        <w:textAlignment w:val="auto"/>
        <w:outlineLvl w:val="9"/>
        <w:rPr>
          <w:rFonts w:hint="eastAsia" w:ascii="宋体" w:hAnsi="宋体" w:eastAsia="宋体" w:cs="宋体"/>
          <w:b/>
          <w:bCs/>
          <w:color w:val="auto"/>
          <w:kern w:val="0"/>
          <w:sz w:val="29"/>
          <w:lang w:eastAsia="zh-CN"/>
        </w:rPr>
      </w:pPr>
      <w:r>
        <w:rPr>
          <w:rFonts w:hint="eastAsia" w:ascii="宋体" w:hAnsi="宋体" w:eastAsia="宋体" w:cs="宋体"/>
          <w:b/>
          <w:bCs/>
          <w:color w:val="auto"/>
          <w:kern w:val="0"/>
          <w:sz w:val="29"/>
          <w:lang w:eastAsia="zh-CN"/>
        </w:rPr>
        <w:t>雅安经济开发区市政建筑工程有限公司公开考核招聘</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ind w:right="0" w:rightChars="0"/>
        <w:jc w:val="center"/>
        <w:textAlignment w:val="auto"/>
        <w:outlineLvl w:val="9"/>
        <w:rPr>
          <w:rFonts w:hint="eastAsia" w:ascii="宋体" w:hAnsi="宋体" w:eastAsia="宋体" w:cs="宋体"/>
          <w:b/>
          <w:bCs/>
          <w:color w:val="auto"/>
          <w:kern w:val="0"/>
          <w:sz w:val="29"/>
          <w:lang w:eastAsia="zh-CN"/>
        </w:rPr>
      </w:pPr>
      <w:r>
        <w:rPr>
          <w:rFonts w:hint="eastAsia" w:ascii="宋体" w:hAnsi="宋体" w:eastAsia="宋体" w:cs="宋体"/>
          <w:b/>
          <w:bCs/>
          <w:color w:val="auto"/>
          <w:kern w:val="0"/>
          <w:sz w:val="29"/>
          <w:lang w:val="en-US" w:eastAsia="zh-CN"/>
        </w:rPr>
        <w:t>成绩及进入体检人员名单</w:t>
      </w:r>
    </w:p>
    <w:tbl>
      <w:tblPr>
        <w:tblStyle w:val="8"/>
        <w:tblpPr w:leftFromText="180" w:rightFromText="180" w:vertAnchor="text" w:horzAnchor="page" w:tblpX="1724" w:tblpY="885"/>
        <w:tblOverlap w:val="never"/>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0"/>
        <w:gridCol w:w="1608"/>
        <w:gridCol w:w="1330"/>
        <w:gridCol w:w="1331"/>
        <w:gridCol w:w="1331"/>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 w:hRule="atLeast"/>
        </w:trPr>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岗位名称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面试序号</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面试成绩</w:t>
            </w:r>
          </w:p>
        </w:tc>
        <w:tc>
          <w:tcPr>
            <w:tcW w:w="1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成绩排名</w:t>
            </w:r>
          </w:p>
        </w:tc>
        <w:tc>
          <w:tcPr>
            <w:tcW w:w="13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地产开发经营部员工</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82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80.8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78.4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right="0" w:rightChars="0"/>
        <w:jc w:val="center"/>
        <w:textAlignment w:val="auto"/>
        <w:outlineLvl w:val="9"/>
        <w:rPr>
          <w:rFonts w:hint="eastAsia" w:ascii="宋体" w:hAnsi="宋体" w:eastAsia="宋体" w:cs="宋体"/>
          <w:b/>
          <w:bCs/>
          <w:color w:val="FF0000"/>
          <w:kern w:val="0"/>
          <w:sz w:val="29"/>
        </w:rPr>
      </w:pPr>
    </w:p>
    <w:p>
      <w:pPr>
        <w:rPr>
          <w:rFonts w:hint="eastAsia" w:ascii="宋体" w:hAnsi="宋体" w:eastAsia="宋体" w:cs="宋体"/>
          <w:b/>
          <w:bCs/>
          <w:color w:val="FF0000"/>
          <w:kern w:val="0"/>
          <w:sz w:val="29"/>
          <w:szCs w:val="22"/>
          <w:lang w:val="en-US" w:eastAsia="zh-CN" w:bidi="ar-SA"/>
        </w:rPr>
      </w:pPr>
    </w:p>
    <w:tbl>
      <w:tblPr>
        <w:tblStyle w:val="8"/>
        <w:tblpPr w:leftFromText="180" w:rightFromText="180" w:vertAnchor="text" w:horzAnchor="page" w:tblpX="1808" w:tblpY="284"/>
        <w:tblOverlap w:val="never"/>
        <w:tblW w:w="8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5"/>
        <w:gridCol w:w="1239"/>
        <w:gridCol w:w="1025"/>
        <w:gridCol w:w="1026"/>
        <w:gridCol w:w="1026"/>
        <w:gridCol w:w="1026"/>
        <w:gridCol w:w="1026"/>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岗位名称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考试序号</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笔试成绩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面试成绩</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成绩排名</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会计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4"/>
                <w:szCs w:val="24"/>
                <w:u w:val="none"/>
                <w:lang w:val="en-US" w:eastAsia="zh-CN"/>
              </w:rPr>
            </w:pPr>
            <w:r>
              <w:rPr>
                <w:rFonts w:hint="eastAsia" w:ascii="Arial" w:hAnsi="Arial" w:eastAsia="宋体" w:cs="Arial"/>
                <w:i w:val="0"/>
                <w:color w:val="000000"/>
                <w:sz w:val="21"/>
                <w:szCs w:val="21"/>
                <w:u w:val="none"/>
                <w:lang w:val="en-US" w:eastAsia="zh-CN"/>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64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进入面试</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79.2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60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进入面试</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79.8</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2-3</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45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37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29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2-7</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29</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10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2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sz w:val="22"/>
                <w:szCs w:val="22"/>
                <w:u w:val="none"/>
                <w:lang w:val="en-US" w:eastAsia="zh-CN"/>
              </w:rPr>
            </w:pPr>
            <w:r>
              <w:rPr>
                <w:rFonts w:hint="eastAsia" w:ascii="Arial" w:hAnsi="Arial" w:eastAsia="宋体" w:cs="Arial"/>
                <w:i w:val="0"/>
                <w:color w:val="000000"/>
                <w:sz w:val="21"/>
                <w:szCs w:val="21"/>
                <w:u w:val="none"/>
                <w:lang w:val="en-US" w:eastAsia="zh-CN"/>
              </w:rPr>
              <w:t>2-6</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14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Arial" w:hAnsi="Arial" w:eastAsia="宋体" w:cs="Arial"/>
                <w:i w:val="0"/>
                <w:color w:val="000000"/>
                <w:sz w:val="21"/>
                <w:szCs w:val="21"/>
                <w:u w:val="none"/>
                <w:lang w:val="en-US" w:eastAsia="zh-CN"/>
              </w:rPr>
            </w:pPr>
            <w:r>
              <w:rPr>
                <w:rFonts w:hint="eastAsia" w:ascii="Arial" w:hAnsi="Arial" w:eastAsia="宋体" w:cs="Arial"/>
                <w:i w:val="0"/>
                <w:color w:val="000000"/>
                <w:sz w:val="21"/>
                <w:szCs w:val="21"/>
                <w:u w:val="none"/>
                <w:lang w:val="en-US" w:eastAsia="zh-CN"/>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hint="eastAsia" w:ascii="宋体" w:hAnsi="宋体" w:eastAsia="宋体" w:cs="宋体"/>
                <w:i w:val="0"/>
                <w:color w:val="000000"/>
                <w:sz w:val="22"/>
                <w:szCs w:val="22"/>
                <w:u w:val="none"/>
              </w:rPr>
            </w:pPr>
          </w:p>
        </w:tc>
      </w:tr>
    </w:tbl>
    <w:p>
      <w:pPr>
        <w:tabs>
          <w:tab w:val="left" w:pos="5937"/>
        </w:tabs>
        <w:jc w:val="left"/>
        <w:rPr>
          <w:rFonts w:hint="eastAsia" w:ascii="宋体" w:hAnsi="宋体" w:eastAsia="宋体" w:cs="宋体"/>
          <w:b/>
          <w:bCs/>
          <w:color w:val="FF0000"/>
          <w:kern w:val="0"/>
          <w:sz w:val="29"/>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8E"/>
    <w:rsid w:val="00123C91"/>
    <w:rsid w:val="00494E4E"/>
    <w:rsid w:val="005A718E"/>
    <w:rsid w:val="00A36026"/>
    <w:rsid w:val="00B245F4"/>
    <w:rsid w:val="00B662BB"/>
    <w:rsid w:val="00CC6AB0"/>
    <w:rsid w:val="00D51F93"/>
    <w:rsid w:val="00DE72F8"/>
    <w:rsid w:val="00E426D8"/>
    <w:rsid w:val="00EA3621"/>
    <w:rsid w:val="00EE5B7E"/>
    <w:rsid w:val="01440B67"/>
    <w:rsid w:val="0EA228EB"/>
    <w:rsid w:val="166F706F"/>
    <w:rsid w:val="31014749"/>
    <w:rsid w:val="41B0237B"/>
    <w:rsid w:val="462C5079"/>
    <w:rsid w:val="58FC19BB"/>
    <w:rsid w:val="5C2123CE"/>
    <w:rsid w:val="5FB57CFE"/>
    <w:rsid w:val="62F3661F"/>
    <w:rsid w:val="631E4506"/>
    <w:rsid w:val="7AA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981</Characters>
  <Lines>8</Lines>
  <Paragraphs>2</Paragraphs>
  <TotalTime>6</TotalTime>
  <ScaleCrop>false</ScaleCrop>
  <LinksUpToDate>false</LinksUpToDate>
  <CharactersWithSpaces>1151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2017-02-27T06:23:00Z</dcterms:created>
  <dc:creator>lenovo</dc:creator>
  <cp:lastModifiedBy>Lorraine</cp:lastModifiedBy>
  <cp:lastPrinted>2018-11-12T07:05:42Z</cp:lastPrinted>
  <dcterms:modified xsi:type="dcterms:W3CDTF">2018-11-12T07:27:31Z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